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Queensland Vineyards Are 3.0 °C Warmer Than Those in Bordeaux</w:t>
      </w:r>
    </w:p>
    <w:p>
      <w:r>
        <w:t>The interactive map charts more than 4.3 million vineyards, 134 of them in Queensland.</w:t>
      </w:r>
    </w:p>
    <w:p>
      <w:r>
        <w:t>World Winery Map, the newly launched wine map of the world, maps 29 wineries and 134 vineyards from Queensland. Queensland vineyards sit at an average elevation of 491 metres and are 3.0 °C warmer during the vine growing season than those in Bordeaux,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Australia were taken from the Wine Geographical Indications published by Wine Australia, which defines 105 wine areas for Australia.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Queensland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