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Madrid son 2,5 °C más cálidos que los situados en Burdeos</w:t>
      </w:r>
    </w:p>
    <w:p>
      <w:r>
        <w:t>El mapa interactivo recoge más de 4,3 millones de viñedos, 16.000 de ellos en Madrid.</w:t>
      </w:r>
    </w:p>
    <w:p>
      <w:r>
        <w:t>World Winery Map, el mapa mundial del vino recién lanzado, cartografía 73 bodegas y 16.000 viñedos de Madrid. Los viñedos de Madrid se encuentran a una altitud media de 682 metros y son 2,5 °C más cálidos durante el periodo vegetativo de la vid que los situados en Burdeos,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Madrid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