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da Beira Interior são 3,9 °C mais quentes do que na Champagne</w:t>
      </w:r>
    </w:p>
    <w:p>
      <w:r>
        <w:t>O mapa interativo cartografa mais de 4,3 milhões de vinhas, 20.108 delas na Beira Interior.</w:t>
      </w:r>
    </w:p>
    <w:p>
      <w:r>
        <w:t>O World Winery Map, o mapa mundial do vinho lançado recentemente, cartografa 21 produtores de vinho e 20.108 vinhas da Beira Interior. As vinhas da Beira Interior estão a uma altitude média de 566 metros e são 3,9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da Beira Interior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