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Dealurile Craiovei sunt cu 4,2 °C mai calde decât cele din Champagne</w:t>
      </w:r>
    </w:p>
    <w:p>
      <w:r>
        <w:t>Harta interactivă cartografiază peste 4,3 milioane de vii, dintre care 35 se află în Dealurile Craiovei.</w:t>
      </w:r>
    </w:p>
    <w:p>
      <w:r>
        <w:t>World Winery Map, harta vinicolă a lumii lansată recent, cartografiază 3 crame și 35 vii din Dealurile Craiovei. Podgoriile din Dealurile Craiovei se află la o altitudine medie de 180 metri și sunt cu 4,2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Dealurile Craiovei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