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das Encostas d'Aire são 3,8 °C mais quentes do que na Champagne</w:t>
      </w:r>
    </w:p>
    <w:p>
      <w:r>
        <w:t>O mapa interativo cartografa mais de 4,3 milhões de vinhas, 359 delas nas Encostas d'Aire.</w:t>
      </w:r>
    </w:p>
    <w:p>
      <w:r>
        <w:t>O World Winery Map, o mapa mundial do vinho lançado recentemente, cartografa 7 produtores de vinho e 359 vinhas das Encostas d'Aire. As vinhas das Encostas d'Aire estão a uma altitude média de 133 metros e são 3,8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das Encostas d'Aire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