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piemontesi sono 1,6 °C più caldi rispetto a quelli nella Rioja</w:t>
      </w:r>
    </w:p>
    <w:p>
      <w:r>
        <w:t>La mappa interattiva censisce oltre 4,3 milioni di vigneti, 182.897 dei quali in Piemonte.</w:t>
      </w:r>
    </w:p>
    <w:p>
      <w:r>
        <w:t>World Winery Map, la mappa mondiale del vino lanciata di recente, mappa 4.268 cantine e 182.897 vigneti del Piemonte. I vigneti piemontesi si trovano a un'altitudine media di 269 metri e sono 1,6 °C più caldi durante il periodo vegetativo della vite rispetto a quelli nella Rioja,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I confini ufficiali per il Piemonte hanno come fonte le aree di produzione dei vini DOC e DOCG pubblicate dalla Regione Piemonte, che definisce 63 aree vitivinicole per il Piemonte.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piemontesi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