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suisses sont 2,1 °C plus frais que ceux du Bordelais</w:t>
      </w:r>
    </w:p>
    <w:p>
      <w:r>
        <w:t>La carte interactive recense plus de 4,3 millions de vignobles, dont 64 532 en Suisse.</w:t>
      </w:r>
    </w:p>
    <w:p>
      <w:r>
        <w:t>World Winery Map, la carte mondiale du vin qui vient d'être lancée, répertorie 2 030 domaines viticoles et 64 532 vignobles en Suisse. Les vignobles suisses se situent en moyenne à 601 mètres d'altitude et, pendant la période de végétation de la vigne, ils sont 2,1 °C plus frais que ceux du Bordelais,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de Suisse sont issues des cadastres viticoles cantonaux (geodienste.ch).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suisses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