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Sierras de Málaga son 2,4 °C más cálidos que los de Burdeos</w:t>
      </w:r>
    </w:p>
    <w:p>
      <w:r>
        <w:t>El mapa interactivo recoge más de 4,3 millones de viñedos, 11.399 de ellos en Sierras de Málaga.</w:t>
      </w:r>
    </w:p>
    <w:p>
      <w:r>
        <w:t>World Winery Map, el mapa mundial del vino recién lanzado, incluye 75 bodegas y 11.399 viñedos de Sierras de Málaga. Los viñedos de Sierras de Málaga se sitúan de media a 406 metros de altitud y son 2,4 °C más cálidos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Sierras de Málaga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