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Cangas son 2,2 °C más frescos que los de Burdeos</w:t>
      </w:r>
    </w:p>
    <w:p>
      <w:r>
        <w:t>El mapa interactivo recoge más de 4,3 millones de viñedos, 881 de ellos en Cangas.</w:t>
      </w:r>
    </w:p>
    <w:p>
      <w:r>
        <w:t>World Winery Map, el mapa mundial del vino recién lanzado, incluye 13 bodegas y 881 viñedos de Cangas. Los viñedos de Cangas se sitúan de media a 462 metros de altitud y son 2,2 °C más frescos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España se han tomado de los pliegos de condiciones de las denominaciones de origen protegidas (DOP) e indicaciones geográficas protegidas (IGP) del Ministerio de Agricultura.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Cangas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